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22 серпня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              м. Сквира                               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-38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територіальної громади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частину нежитлової будівлі «Магазину» загальною площею 106,10 кв.м. по вул. Перемоги, 14 в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с. Миньківці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22.08.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2023 року №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  -38-VІІІ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60 Закону України «Про місцеве самоврядування в Україні», враховуючи пропозиції постійних комісій міської ради,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нежитлової будівлі «Магазину» (приміщення №1-1, 1-2), загальною площею 106,10 кв.м. за адресою: вул. Перемоги, 14 в                         с. Миньківці Білоцерківського району Київської області.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22.08.2023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№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-38-VІІІ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розташованого за адресою: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вул. Перемоги,14 в с. Миньківці Білоцерківського району Київської області</w:t>
      </w: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нежитлової будівлі «Магазину»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Болтівець Ольга Анатоліївна,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(067) 68-33-339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kap_bud2021@ukr.net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 буд.28, м.Сквира, Білоцерківський район, Київська область У робочі дні з 8.00 до 16.30, обідня перерва з 12.00 до 12.30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155 755,98 грн.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 31.07.2023 року – 109 029,19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106.10 кв.м.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106.10 кв.м.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нежитлової одноповерхової будівлі «Магазину» з надземним розташуванням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підприємницької діяльності у сфері торгівлі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житлово - комунального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господарства міської ради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Марина ТЕРНОВА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нежитлової будівлі «Магазину» загальною площею  106,10 кв.м. по вул. Перемоги, 14 в с. Миньківці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Заява Грищенко Олександри Вячеславівни вих.№03-887 від 21.07.2023 року про можливість надання в оренди нерухомого майна, що належить до комунальної власності Сквирської міської ради – частину нежитлової будівлі «Магазину» (приміщення № 1-1, 1-2), загальною площею 106,10кв.м. за адресою: вул. Перемоги, 14, с. Минківці, Білоцерківського району, Київської області. Підстава розроблення проєкту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Статтею 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 якого об’єкта, що належить до державної та комунальної власності є прийняття рішення щодо наміру передачі майна в оренду.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Таким чином, з метою підвищення ефективності використання майна, що належить до комунальної власності громади, доцільним є передача об’єктів нерухомого майна в строкове платне користування. За таких обставин, задля можливості передачі в оренду об’єктів нерухомого майна, необхідним є прийняття рішення про намір передати об’єкт нерухомого майна комунальної власності в орендне користування.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прийняття рішення є прийняття рішення про намір передати об’єкт нерухомого майна в оренду.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Загальна характеристика та основні положення проекту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Лист розсилки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“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нежитлової будівлі «Магазину» загальною площею 106,10 кв.м по вул. Перемоги, 14 в с. Миньківці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60.0" w:type="dxa"/>
        <w:jc w:val="left"/>
        <w:tblInd w:w="3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3148"/>
        <w:gridCol w:w="1417"/>
        <w:gridCol w:w="2127"/>
        <w:gridCol w:w="1693"/>
        <w:tblGridChange w:id="0">
          <w:tblGrid>
            <w:gridCol w:w="675"/>
            <w:gridCol w:w="3148"/>
            <w:gridCol w:w="1417"/>
            <w:gridCol w:w="2127"/>
            <w:gridCol w:w="1693"/>
          </w:tblGrid>
        </w:tblGridChange>
      </w:tblGrid>
      <w:tr>
        <w:trPr>
          <w:cantSplit w:val="0"/>
          <w:trHeight w:val="8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 з/п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Електронна адреса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Головний спеціаліст з відділу капітального будівництва, комунальної власності та ЖКГ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Сквирської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Болтівець О.А.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Kap_bud2021@ukr.net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 (оригінал)</w:t>
            </w:r>
          </w:p>
        </w:tc>
      </w:tr>
    </w:tbl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14.8425196850417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Строгий,обычный">
    <w:name w:val="Строгий,обычный"/>
    <w:next w:val="Строгий,обычны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46XwznyAgyPXqEV5qRpYE4h6WQ==">CgMxLjAyCGguZ2pkZ3hzOAByITF4ZW5GcTBrcGxzdWdXZVJPcEhObE1TLTdZbzc2SFdMTQ==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